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b/>
          <w:sz w:val="32"/>
          <w:szCs w:val="32"/>
        </w:rPr>
      </w:pPr>
      <w:bookmarkStart w:id="0" w:name="_GoBack"/>
      <w:bookmarkEnd w:id="0"/>
      <w:r>
        <w:rPr>
          <w:rFonts w:hint="eastAsia"/>
          <w:b/>
          <w:sz w:val="32"/>
          <w:szCs w:val="32"/>
        </w:rPr>
        <w:t>国家矿山安全监察局河北局</w:t>
      </w:r>
    </w:p>
    <w:p>
      <w:pPr>
        <w:spacing w:line="360" w:lineRule="exact"/>
        <w:jc w:val="center"/>
        <w:rPr>
          <w:b/>
          <w:sz w:val="32"/>
          <w:szCs w:val="32"/>
        </w:rPr>
      </w:pPr>
      <w:r>
        <w:rPr>
          <w:rFonts w:hint="eastAsia"/>
          <w:b/>
          <w:sz w:val="32"/>
          <w:szCs w:val="32"/>
          <w:u w:val="single"/>
          <w:lang w:val="en-US" w:eastAsia="zh-CN"/>
        </w:rPr>
        <w:t>4</w:t>
      </w:r>
      <w:r>
        <w:rPr>
          <w:rFonts w:hint="eastAsia"/>
          <w:b/>
          <w:sz w:val="32"/>
          <w:szCs w:val="32"/>
        </w:rPr>
        <w:t>月煤矿安全随机抽查公示信息</w:t>
      </w:r>
    </w:p>
    <w:p>
      <w:pPr>
        <w:rPr>
          <w:sz w:val="28"/>
          <w:szCs w:val="28"/>
        </w:rPr>
      </w:pPr>
      <w:r>
        <w:rPr>
          <w:b/>
          <w:sz w:val="28"/>
          <w:szCs w:val="28"/>
        </w:rPr>
        <w:t xml:space="preserve">                                                                           </w:t>
      </w:r>
      <w:r>
        <w:rPr>
          <w:sz w:val="28"/>
          <w:szCs w:val="28"/>
        </w:rPr>
        <w:t xml:space="preserve"> </w:t>
      </w:r>
      <w:r>
        <w:rPr>
          <w:rFonts w:hint="eastAsia"/>
          <w:sz w:val="28"/>
          <w:szCs w:val="28"/>
        </w:rPr>
        <w:t>202</w:t>
      </w:r>
      <w:r>
        <w:rPr>
          <w:rFonts w:hint="default"/>
          <w:sz w:val="28"/>
          <w:szCs w:val="28"/>
          <w:lang w:val="en" w:eastAsia="zh-CN"/>
        </w:rPr>
        <w:t>4</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23</w:t>
      </w:r>
      <w:r>
        <w:rPr>
          <w:rFonts w:hint="eastAsia"/>
          <w:sz w:val="28"/>
          <w:szCs w:val="28"/>
        </w:rPr>
        <w:t>日</w:t>
      </w:r>
    </w:p>
    <w:tbl>
      <w:tblPr>
        <w:tblStyle w:val="7"/>
        <w:tblW w:w="151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1"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s="宋体"/>
                <w:b/>
                <w:sz w:val="24"/>
                <w:szCs w:val="24"/>
              </w:rPr>
            </w:pPr>
            <w:r>
              <w:rPr>
                <w:rFonts w:hint="eastAsia" w:ascii="宋体" w:hAnsi="宋体" w:eastAsia="宋体" w:cs="宋体"/>
                <w:b/>
                <w:sz w:val="24"/>
                <w:szCs w:val="24"/>
              </w:rPr>
              <w:t>单位名称</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w:t>
            </w:r>
          </w:p>
          <w:p>
            <w:pPr>
              <w:spacing w:line="260" w:lineRule="exact"/>
              <w:jc w:val="center"/>
              <w:rPr>
                <w:rFonts w:eastAsia="Times New Roman"/>
                <w:b/>
                <w:sz w:val="24"/>
                <w:szCs w:val="24"/>
              </w:rPr>
            </w:pPr>
            <w:r>
              <w:rPr>
                <w:rFonts w:hint="eastAsia" w:ascii="宋体" w:hAnsi="宋体" w:eastAsia="宋体" w:cs="宋体"/>
                <w:b/>
                <w:sz w:val="24"/>
                <w:szCs w:val="24"/>
              </w:rPr>
              <w:t>时间</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抽查矿井名称</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发现的事故隐患</w:t>
            </w:r>
          </w:p>
        </w:tc>
        <w:tc>
          <w:tcPr>
            <w:tcW w:w="141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其中重大事故隐患</w:t>
            </w:r>
          </w:p>
        </w:tc>
        <w:tc>
          <w:tcPr>
            <w:tcW w:w="453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行政处罚情况</w:t>
            </w:r>
          </w:p>
        </w:tc>
        <w:tc>
          <w:tcPr>
            <w:tcW w:w="2124"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Cs w:val="21"/>
              </w:rPr>
            </w:pPr>
            <w:r>
              <w:rPr>
                <w:rFonts w:hint="eastAsia" w:ascii="宋体" w:hAnsi="宋体" w:eastAsia="宋体" w:cs="宋体"/>
                <w:b/>
                <w:szCs w:val="21"/>
              </w:rPr>
              <w:t>带队人及参加人员情况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主要内容</w:t>
            </w:r>
          </w:p>
        </w:tc>
        <w:tc>
          <w:tcPr>
            <w:tcW w:w="70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条数</w:t>
            </w:r>
          </w:p>
        </w:tc>
        <w:tc>
          <w:tcPr>
            <w:tcW w:w="70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Times New Roman"/>
                <w:b/>
                <w:sz w:val="24"/>
                <w:szCs w:val="24"/>
              </w:rPr>
            </w:pPr>
            <w:r>
              <w:rPr>
                <w:rFonts w:hint="eastAsia" w:ascii="宋体" w:hAnsi="宋体" w:eastAsia="宋体" w:cs="宋体"/>
                <w:b/>
                <w:sz w:val="24"/>
                <w:szCs w:val="24"/>
              </w:rPr>
              <w:t>内容</w:t>
            </w:r>
          </w:p>
        </w:tc>
        <w:tc>
          <w:tcPr>
            <w:tcW w:w="85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罚款</w:t>
            </w:r>
          </w:p>
          <w:p>
            <w:pPr>
              <w:spacing w:line="260" w:lineRule="exact"/>
              <w:jc w:val="center"/>
              <w:rPr>
                <w:rFonts w:eastAsia="Times New Roman"/>
                <w:b/>
                <w:sz w:val="18"/>
                <w:szCs w:val="18"/>
              </w:rPr>
            </w:pPr>
            <w:r>
              <w:rPr>
                <w:rFonts w:hint="eastAsia" w:ascii="宋体" w:hAnsi="宋体" w:eastAsia="宋体" w:cs="宋体"/>
                <w:b/>
                <w:sz w:val="18"/>
                <w:szCs w:val="18"/>
              </w:rPr>
              <w:t>（万元）</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责令停产整顿</w:t>
            </w:r>
          </w:p>
        </w:tc>
        <w:tc>
          <w:tcPr>
            <w:tcW w:w="709"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责令停头个数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责令停面个数</w:t>
            </w:r>
          </w:p>
        </w:tc>
        <w:tc>
          <w:tcPr>
            <w:tcW w:w="99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eastAsia="Times New Roman"/>
                <w:b/>
                <w:sz w:val="24"/>
                <w:szCs w:val="24"/>
              </w:rPr>
            </w:pPr>
            <w:r>
              <w:rPr>
                <w:rFonts w:hint="eastAsia" w:ascii="宋体" w:hAnsi="宋体" w:eastAsia="宋体" w:cs="宋体"/>
                <w:b/>
                <w:sz w:val="24"/>
                <w:szCs w:val="24"/>
              </w:rPr>
              <w:t>责令停设备台数</w:t>
            </w:r>
          </w:p>
        </w:tc>
        <w:tc>
          <w:tcPr>
            <w:tcW w:w="21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2024年</w:t>
            </w:r>
            <w:r>
              <w:rPr>
                <w:rFonts w:hint="eastAsia" w:ascii="仿宋_GB2312" w:hAnsi="仿宋_GB2312" w:eastAsia="仿宋_GB2312" w:cs="仿宋_GB2312"/>
                <w:color w:val="000000"/>
                <w:sz w:val="24"/>
                <w:szCs w:val="24"/>
                <w:lang w:val="en-US" w:eastAsia="zh-CN"/>
              </w:rPr>
              <w:t>3月30日-31日</w:t>
            </w:r>
          </w:p>
        </w:tc>
        <w:tc>
          <w:tcPr>
            <w:tcW w:w="113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兴隆县平安矿业有限公司</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3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u w:val="none"/>
                <w:lang w:val="en-US" w:eastAsia="zh-CN" w:bidi="ar-SA"/>
              </w:rPr>
            </w:pPr>
            <w:r>
              <w:rPr>
                <w:rFonts w:hint="eastAsia" w:ascii="仿宋_GB2312" w:hAnsi="仿宋_GB2312" w:eastAsia="仿宋_GB2312" w:cs="仿宋_GB2312"/>
                <w:kern w:val="0"/>
                <w:sz w:val="24"/>
                <w:szCs w:val="24"/>
                <w:u w:val="none"/>
                <w:lang w:val="en-US" w:eastAsia="zh-CN" w:bidi="ar-SA"/>
              </w:rPr>
              <w:t xml:space="preserve">1.386东翼风巷一氧化碳传感器（编号176175）于2019年12月15日安设使用，传感器探头未按照产品使用说明书要求每2年更换1次，致使该传感器2024年3月30日井下调校后，仍发生故障报警。
                                                                                                          </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kern w:val="0"/>
                <w:sz w:val="24"/>
                <w:szCs w:val="24"/>
                <w:u w:val="none"/>
                <w:lang w:val="en-US" w:eastAsia="zh-CN" w:bidi="ar-SA"/>
              </w:rPr>
            </w:pPr>
            <w:r>
              <w:rPr>
                <w:rFonts w:hint="eastAsia" w:ascii="仿宋_GB2312" w:hAnsi="仿宋_GB2312" w:eastAsia="仿宋_GB2312" w:cs="仿宋_GB2312"/>
                <w:kern w:val="0"/>
                <w:sz w:val="24"/>
                <w:szCs w:val="24"/>
                <w:u w:val="none"/>
                <w:lang w:val="en-US" w:eastAsia="zh-CN" w:bidi="ar-SA"/>
              </w:rPr>
              <w:t xml:space="preserve">    2.2024年3月17日早班，安全监测工在对1225运输巷掘进工作面T1甲烷传感器调校时，未按照产品使用说明书要求对该甲烷传感器设置成在线标校状态，致使数据上传远程监察系统，导致该甲烷传感器报警，最大值2.06%，报警持续时间约3分15秒。</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4.2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w:t>
            </w:r>
          </w:p>
        </w:tc>
        <w:tc>
          <w:tcPr>
            <w:tcW w:w="709" w:type="dxa"/>
            <w:tcBorders>
              <w:top w:val="single" w:color="auto" w:sz="4" w:space="0"/>
              <w:left w:val="single" w:color="auto" w:sz="4" w:space="0"/>
              <w:bottom w:val="single" w:color="auto" w:sz="4" w:space="0"/>
              <w:right w:val="single" w:color="auto" w:sz="4" w:space="0"/>
            </w:tcBorders>
            <w:vAlign w:val="center"/>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0</w:t>
            </w:r>
          </w:p>
        </w:tc>
        <w:tc>
          <w:tcPr>
            <w:tcW w:w="212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刘英强带队，参加人员：和瑞民。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2024年4月8日-19日</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开滦能源化工股份有限公司范各庄矿业分公司 </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58</w:t>
            </w:r>
          </w:p>
        </w:tc>
        <w:tc>
          <w:tcPr>
            <w:tcW w:w="3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 煤矿提供的3451S采煤工作面作业规程贯彻记录中综采二队马小飞签到非本人签字。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 2591运料巷临时密闭通风设施构建记录卡显示，2024年3月21日施工，负责人为王兵，实际王兵当日未下井。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 《掘准区2500正石门治理施工安全技术措施》贯彻记录虚假，贯彻人边永明和刘坤均非本人签字。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 矿内空压机房周检修记录显示2024年4月5日王立辉、靳韦明对1#空压机进行了检查，实际未检查。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 2023年12月28日，矿井进行了反风演习，中央风井在用主通风机反风时间约为40分钟，反风试验报告记录反风时间为2个小时；反风试验报告显示2023年12月28日矿井备用主通风机也进行了反风试验，而实际上备用主通风机未进行反风试验。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6. 2024年春节检修期间，井运区更换了一、二水平共计3副道岔，制定的《2024年春节检修更换道岔、清挖水沟安全技术措施》有使用切割机等工具的内容，有火灾风险，安全技术措施中无相关内容，未告知有关安全生产事项。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7. 井运区制定的《2023年底检修二水平更换轨道岔的安全技术措施》缺少拆除旧轨道、旧道岔及连接新旧轨道的内容，参与施工的掘准区未告知上述作业中存在的有关安全生产事项。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8. 准备一区康晓堃未参加2024年矿井灾害预防和处理计划培训，未告知有关安全生产事项，于2024年3月4日入井作业。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9. 机电科未向孙延富等12人贯彻学习《2024年灾害预防和处理计划》，未告知作业场所和工作岗位存在的危险因素、防范措施以及事故应急措施。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10. 1300变电所硐室内未悬挂“高压危险”警示牌。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11. 3200变电所内一台高压变压器（6KV）未设置明显的安全警示标志。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12. 3X21采煤工作面运道加强支护范围有1棵单体液压支柱漏液，未按照作业规程规定及时补打或更换。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13. 3453S运道掘进工作面迎头后第三排一根锚索外漏长度为400mm,超过作业规程规定；迎头后第二排、第三排顶锚杆有8个锚杆失效，未按照作业规程进行补打。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14. 3451S采煤工作面风道超前支护范围巷道压力显现，顶帮破碎，有多处网兜，未及时处理，不符合作业规程规定。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15. 3475上山掘进工作面距上口120米处帮锚索外露280mm，大于作业规程规定的250mm。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16. 2500正石门套修段采用金属拱形支架支护，迎头上顶未按照安全技术措施要求插严背实。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17. 2427SX采煤工作面第21组液压支架压力表显示数值18Mpa，小于作业规程规定的24Mpa。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18. 二水平爆炸物品库配备的推车式干粉灭火器为35Kg，低于50Kg。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19. 二水平消防材料库配备的应急救援物资中石灰已结块失效，未及时更换。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20. 3591下运皮带机头机电设备处设置的瓦斯检查点未悬挂瓦斯检查牌板。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21. 253车场风门为矿井主要进回风巷道中的主要风门，未安设风门开关传感器的声光报警装置。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22. 2591上山风门为矿井主要进回风巷道中的主要风门，未安设风门开关传感器。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23. 3X采区瓦斯抽采泵站调节风门为3101乙进风大巷和3X采区回风巷之间的主要风门，未设风门开关传感器。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24. 3591运道掘进工作面T2甲烷传感器悬挂位置距顶板最高处距离500mm，大于300mm。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25. 3X采区瓦斯抽采泵站硐室内未设温度传感器。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26. 2400正石门皮带中部改向滚筒处安装两个跑偏保护装置，行人侧跑偏保护装置摆杆距托辊端部40mm，当运行的输送带超过托辊端部边缘20mm时不能中止带式输送机运行。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27. 2433下山皮带机头处10m范围内急停拉线被护网遮挡，人员无法触及。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28. 2400正石门皮带中部改向滚筒处10m范围内急停拉线被护网遮挡，人员无法触及。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29. 3X21采煤工作面运道滚筒驱动带式输送机安设的急停开关拉线中部约20m范围高度过高，人员无法触及。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30. 3451S采煤工作面液压第2组支架压力传感器不能正常显示。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31. 2427SX采煤工作面第6组液压支架压力表损坏，读数为0。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32. 5600上部有1台在用JD-1.6绞车制动机构变形、4月9日现场检查测试时制动闸无法使用。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33. 2433下山带式输送机第4号纵梁处底托辊掉落。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34. 3X采区瓦斯抽采泵站运转的三号泵减速箱机油油位低于最低允许位置。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35. 105皮带机尾滚筒处胶带跑偏未及时调整。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36. 205水泵房5号水泵上1块压力表损坏，当水泵处于非工作状态时，指针不能归零。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37. 2500正石门二部皮带烟雾传感器因维护保养不到位导致检测元件故障，2024年4月5日发生误报警，时长1小时52分40秒。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38. 掘三区周隐患排查记录表未如实记录2024年3月20日排查的1条C级隐患。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39. 综采二队段俊杰、赵洪亮参加了2024年矿井灾害预防和处理计划培训，培训档案中未记录综采二队段俊杰、赵洪亮的培训时间。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40. 矿井主要负责人或总工程师2024年3月份未组织召开瓦斯综合治理工作例会。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41. 3571上山安设的滚筒驱动带式输送机机尾行人跨越处未设过桥。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42. 1300变电所硐室内动力电缆掉落在有水的水沟内。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43. 1300变电所硐室内两组需要检修的高爆开关之间只留出0.6m的通道。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44. 3521S回风绕道顶板破碎，巷道中部存在3处网兜。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45. 3X采区回风石门局部爆浆未及时找掉。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46. 2-3水平上部架空乘人装置局部吊椅高度不足200mm。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47. 矿井配电系统图中未注明一水平南四变电所至毕各庄风井电缆的型号、电压、截面和长度。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48. 3X83N回收面实际构筑了4处采空区密闭，仅对2处采空区密闭编制了设计。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49. 矿井3-2头部、二部架空乘人装置下行侧机尾、二部架空乘人装置上行侧机头转动部分未安设遮拦等的防护设施。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50. 2521架空乘人装置编号第180-163#横梁范围内巷道底鼓变形，吊椅距底板的高度小于0.2m。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51. 毕各庄35kVA变电站内供电系统图显示6106、6206开关柜负荷为向焦化厂的供电线路，与实际情况不符。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52. 2435斜石门上部有1台在用JH-14型绞车设计应选用22.5mm钢丝绳，现场实际使用21.5mm钢丝绳。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53. 5-4二部带式输送机第57-67#纵梁之间金属拱形支架歪扭变形；2529运道边眼、2529N运道绕道上顶棚梁间金属网因损坏掉落导致煤矸洒落无支护。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54. 《3521N掘进工作面作业规程》中矿压监测部分缺少顶板离层在线监测装置的型号、使用方法、日常维护等内容。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55. 3453S运道掘进工作面采用锚网支护，未由总工程师组织开展围岩结构等现场调查和围岩地质力学评估，未确定重点管理类别。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56. 未坚持锚杆支护巷道“一巷一设计”，3451S、3453S掘进工作面采用一个锚网支护设计。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57. 《3X21N风道疏放3083N采空区积水钻孔设计说明书》中设计6个钻孔，实际只完成有效钻孔4个，未按照说明书要求出具钻孔变更通知单。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58. 2527上山下部横川1处巷道形变量观测记录显示近两年未观测此处巷道的形变量，不符合矿井围岩观测制度永久行人巷道每15天观测1次的规定。</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卢殿林带队，参加人员：吕福强、王秋明、王冠萌、龚卫彬、徐海波、王云祥、李国栋、刘英强、和瑞民、张鹏飞、杨宇进。</w:t>
            </w:r>
          </w:p>
          <w:p>
            <w:pPr>
              <w:jc w:val="center"/>
              <w:rPr>
                <w:rFonts w:hint="eastAsia" w:ascii="仿宋_GB2312" w:hAnsi="仿宋_GB2312" w:eastAsia="仿宋_GB2312" w:cs="仿宋_GB2312"/>
                <w:sz w:val="24"/>
                <w:szCs w:val="24"/>
                <w:lang w:val="en-US" w:eastAsia="zh-CN"/>
              </w:rPr>
            </w:pPr>
          </w:p>
        </w:tc>
      </w:tr>
    </w:tbl>
    <w:tbl>
      <w:tblPr>
        <w:tblStyle w:val="6"/>
        <w:tblW w:w="1516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85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监察执法一处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rPr>
              <w:t>2024.3.30</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冀中能源峰峰集团有限公司大社矿</w:t>
            </w: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31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带队人刘梅章，陈凤胜参加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5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监察执法一处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rPr>
              <w:t>2024.</w:t>
            </w:r>
            <w:r>
              <w:rPr>
                <w:rFonts w:hint="eastAsia" w:ascii="仿宋_GB2312" w:hAnsi="仿宋_GB2312" w:eastAsia="仿宋_GB2312" w:cs="仿宋_GB2312"/>
                <w:sz w:val="24"/>
                <w:szCs w:val="24"/>
                <w:lang w:val="e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
              </w:rPr>
              <w:t>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冀中能源峰峰集团有限公司九龙矿</w:t>
            </w: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31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带队人李志波，郑则宁、王楠参加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85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监察执法一处</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lang w:val="en"/>
              </w:rPr>
            </w:pPr>
            <w:r>
              <w:rPr>
                <w:rFonts w:hint="eastAsia" w:ascii="仿宋_GB2312" w:hAnsi="仿宋_GB2312" w:eastAsia="仿宋_GB2312" w:cs="仿宋_GB2312"/>
                <w:sz w:val="24"/>
                <w:szCs w:val="24"/>
              </w:rPr>
              <w:t>2024.</w:t>
            </w:r>
            <w:r>
              <w:rPr>
                <w:rFonts w:hint="eastAsia" w:ascii="仿宋_GB2312" w:hAnsi="仿宋_GB2312" w:eastAsia="仿宋_GB2312" w:cs="仿宋_GB2312"/>
                <w:sz w:val="24"/>
                <w:szCs w:val="24"/>
                <w:lang w:val="en"/>
              </w:rPr>
              <w:t>4</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
              </w:rPr>
              <w:t>14</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冀中能源峰峰集团有限公司羊东矿</w:t>
            </w:r>
          </w:p>
        </w:tc>
        <w:tc>
          <w:tcPr>
            <w:tcW w:w="5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31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9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21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带队人马龙，王涛参加</w:t>
            </w:r>
          </w:p>
        </w:tc>
      </w:tr>
    </w:tbl>
    <w:tbl>
      <w:tblPr>
        <w:tblStyle w:val="7"/>
        <w:tblW w:w="150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76"/>
        <w:gridCol w:w="1134"/>
        <w:gridCol w:w="549"/>
        <w:gridCol w:w="3137"/>
        <w:gridCol w:w="708"/>
        <w:gridCol w:w="709"/>
        <w:gridCol w:w="851"/>
        <w:gridCol w:w="992"/>
        <w:gridCol w:w="709"/>
        <w:gridCol w:w="992"/>
        <w:gridCol w:w="992"/>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国家矿山安全监察局河北局</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4.17-18</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肥矿集团蔚县鑫国矿业有限公司红土湾煤矿</w:t>
            </w: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1. 矿井未测定主要通风机风量，无法计算外部漏风率。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2. 《矿井防灭火设计》中未规定矿井电缆火灾防治方案、油脂及其他可燃物品火灾防治方案、电气焊及火工品火灾防治方案。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3. 矿井2#探巷掘进工作面已封闭，矿井安全监控布置图中仍标注2#探巷安全监控系统传感器。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4. 副斜井为串车提升，检查时副斜井未运输，下部挡车栏处于敞开状态。
                                                                                                          </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5. 主井煤仓上口上风侧隔爆水棚有1水袋无水。
                                                                                                          </w:t>
            </w:r>
          </w:p>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 xml:space="preserve">    6. 未建立安全生产调度与安全监控联合值守应急处置制度。
               </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带队人：</w:t>
            </w:r>
            <w:r>
              <w:rPr>
                <w:rFonts w:hint="eastAsia" w:ascii="仿宋_GB2312" w:hAnsi="仿宋_GB2312" w:eastAsia="仿宋_GB2312" w:cs="仿宋_GB2312"/>
                <w:sz w:val="24"/>
                <w:szCs w:val="24"/>
                <w:lang w:val="en-US" w:eastAsia="zh-CN"/>
              </w:rPr>
              <w:t>杨成立</w:t>
            </w:r>
            <w:r>
              <w:rPr>
                <w:rFonts w:hint="eastAsia" w:ascii="仿宋_GB2312" w:hAnsi="仿宋_GB2312" w:eastAsia="仿宋_GB2312" w:cs="仿宋_GB2312"/>
                <w:sz w:val="24"/>
                <w:szCs w:val="24"/>
                <w:lang w:eastAsia="zh-CN"/>
              </w:rPr>
              <w:t>。参加人员：王信辉、高伟、靳守飞、高胜伟。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szCs w:val="21"/>
                <w:lang w:val="en-US" w:eastAsia="zh-CN"/>
              </w:rPr>
            </w:pP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eastAsia="Times New Roman"/>
                <w:b/>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szCs w:val="21"/>
                <w:lang w:val="en-US" w:eastAsia="zh-CN"/>
              </w:rPr>
            </w:pPr>
          </w:p>
        </w:tc>
        <w:tc>
          <w:tcPr>
            <w:tcW w:w="313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Theme="minorEastAsia" w:hAnsiTheme="minorEastAsia" w:eastAsiaTheme="minorEastAsia" w:cstheme="minorEastAsia"/>
                <w:b/>
                <w:szCs w:val="21"/>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szCs w:val="21"/>
                <w:lang w:val="en-US" w:eastAsia="zh-CN"/>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kern w:val="2"/>
                <w:sz w:val="21"/>
                <w:szCs w:val="21"/>
                <w:lang w:val="en-US" w:eastAsia="zh-CN" w:bidi="ar-SA"/>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Theme="minorEastAsia" w:hAnsiTheme="minorEastAsia" w:eastAsiaTheme="minorEastAsia" w:cstheme="minorEastAsia"/>
                <w:szCs w:val="21"/>
                <w:lang w:val="en-US" w:eastAsia="zh-CN"/>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szCs w:val="21"/>
                <w:lang w:val="en-US" w:eastAsia="zh-CN"/>
              </w:rPr>
            </w:pPr>
          </w:p>
        </w:tc>
        <w:tc>
          <w:tcPr>
            <w:tcW w:w="2124" w:type="dxa"/>
            <w:tcBorders>
              <w:top w:val="single" w:color="auto" w:sz="4" w:space="0"/>
              <w:left w:val="single" w:color="auto" w:sz="4" w:space="0"/>
              <w:bottom w:val="single" w:color="auto" w:sz="4" w:space="0"/>
              <w:right w:val="single" w:color="auto" w:sz="4" w:space="0"/>
            </w:tcBorders>
            <w:vAlign w:val="center"/>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合计</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6矿次</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54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67</w:t>
            </w:r>
          </w:p>
        </w:tc>
        <w:tc>
          <w:tcPr>
            <w:tcW w:w="31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70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55.8</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21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bl>
    <w:p/>
    <w:p>
      <w:pPr>
        <w:ind w:firstLine="420" w:firstLineChars="200"/>
        <w:rPr>
          <w:sz w:val="28"/>
          <w:szCs w:val="28"/>
        </w:rPr>
      </w:pPr>
      <w:r>
        <w:rPr>
          <w:rFonts w:hint="eastAsia"/>
        </w:rPr>
        <w:t>填表人：</w:t>
      </w:r>
      <w:r>
        <w:rPr>
          <w:rFonts w:hint="eastAsia"/>
          <w:lang w:val="en-US" w:eastAsia="zh-CN"/>
        </w:rPr>
        <w:t>张树良</w:t>
      </w:r>
      <w:r>
        <w:rPr>
          <w:rFonts w:hint="eastAsia"/>
        </w:rPr>
        <w:t xml:space="preserve">                                                                        </w:t>
      </w:r>
      <w:r>
        <w:rPr>
          <w:rFonts w:hint="eastAsia"/>
          <w:lang w:val="en-US" w:eastAsia="zh-CN"/>
        </w:rPr>
        <w:t xml:space="preserve">      </w:t>
      </w:r>
      <w:r>
        <w:rPr>
          <w:rFonts w:hint="eastAsia"/>
        </w:rPr>
        <w:t xml:space="preserve">  联系电话：1883018</w:t>
      </w:r>
      <w:r>
        <w:rPr>
          <w:rFonts w:hint="eastAsia"/>
          <w:lang w:val="en-US" w:eastAsia="zh-CN"/>
        </w:rPr>
        <w:t>8707</w:t>
      </w: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trackedChanges"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mNDdiMTk2NzMyNDljZjZlYWNlMjFkNmEzOTdhMjkifQ=="/>
  </w:docVars>
  <w:rsids>
    <w:rsidRoot w:val="00BC52B7"/>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61588"/>
    <w:rsid w:val="00E66BC5"/>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984120A"/>
    <w:rsid w:val="0ADC5038"/>
    <w:rsid w:val="0C924FC6"/>
    <w:rsid w:val="0D032527"/>
    <w:rsid w:val="0D4013BF"/>
    <w:rsid w:val="0F7BFC31"/>
    <w:rsid w:val="0FB70F4C"/>
    <w:rsid w:val="117E4646"/>
    <w:rsid w:val="1772151F"/>
    <w:rsid w:val="194518C3"/>
    <w:rsid w:val="1BF754B3"/>
    <w:rsid w:val="1C974305"/>
    <w:rsid w:val="1DE2029C"/>
    <w:rsid w:val="22C60252"/>
    <w:rsid w:val="230A4CCD"/>
    <w:rsid w:val="243F1C90"/>
    <w:rsid w:val="2BA74026"/>
    <w:rsid w:val="2C9119E8"/>
    <w:rsid w:val="2FD50447"/>
    <w:rsid w:val="30762F46"/>
    <w:rsid w:val="35B2325A"/>
    <w:rsid w:val="35FD6FE2"/>
    <w:rsid w:val="375429F3"/>
    <w:rsid w:val="3AAB0BF8"/>
    <w:rsid w:val="3ED77427"/>
    <w:rsid w:val="443F1954"/>
    <w:rsid w:val="44670E6E"/>
    <w:rsid w:val="46680CB8"/>
    <w:rsid w:val="47465FED"/>
    <w:rsid w:val="483376F0"/>
    <w:rsid w:val="4B89173D"/>
    <w:rsid w:val="4D7728E6"/>
    <w:rsid w:val="4F372819"/>
    <w:rsid w:val="4F6D422F"/>
    <w:rsid w:val="4FC022DD"/>
    <w:rsid w:val="50EC348E"/>
    <w:rsid w:val="53572F8E"/>
    <w:rsid w:val="549D05F3"/>
    <w:rsid w:val="54C22BC1"/>
    <w:rsid w:val="558E1427"/>
    <w:rsid w:val="57B56C77"/>
    <w:rsid w:val="57BD7EF3"/>
    <w:rsid w:val="57DA2557"/>
    <w:rsid w:val="5A802B13"/>
    <w:rsid w:val="5D783F86"/>
    <w:rsid w:val="5E416EEC"/>
    <w:rsid w:val="5E5C63DC"/>
    <w:rsid w:val="5E8951B6"/>
    <w:rsid w:val="5F6E4FA9"/>
    <w:rsid w:val="5FDF35C2"/>
    <w:rsid w:val="62A537A6"/>
    <w:rsid w:val="631156D0"/>
    <w:rsid w:val="637715E6"/>
    <w:rsid w:val="67604E2F"/>
    <w:rsid w:val="684814B0"/>
    <w:rsid w:val="6C636389"/>
    <w:rsid w:val="6CA06D55"/>
    <w:rsid w:val="6D7B3A84"/>
    <w:rsid w:val="6FFF71A7"/>
    <w:rsid w:val="70426103"/>
    <w:rsid w:val="710E25CD"/>
    <w:rsid w:val="71857064"/>
    <w:rsid w:val="740320A2"/>
    <w:rsid w:val="74CF49A3"/>
    <w:rsid w:val="74F05BF3"/>
    <w:rsid w:val="75FDBFBC"/>
    <w:rsid w:val="76C6676F"/>
    <w:rsid w:val="76DF6B4E"/>
    <w:rsid w:val="781B5734"/>
    <w:rsid w:val="78FF2924"/>
    <w:rsid w:val="7AF77D80"/>
    <w:rsid w:val="7B5B675F"/>
    <w:rsid w:val="7B7F2093"/>
    <w:rsid w:val="7BBF750F"/>
    <w:rsid w:val="7D9929E1"/>
    <w:rsid w:val="7E917CEA"/>
    <w:rsid w:val="7F5D5F51"/>
    <w:rsid w:val="7FAB069E"/>
    <w:rsid w:val="7FDBA02C"/>
    <w:rsid w:val="7FFAB19E"/>
    <w:rsid w:val="8A7E7F47"/>
    <w:rsid w:val="9FFBE174"/>
    <w:rsid w:val="B6FF7E4A"/>
    <w:rsid w:val="BCCF11A9"/>
    <w:rsid w:val="BDFF3E7F"/>
    <w:rsid w:val="BE9D0766"/>
    <w:rsid w:val="DF4FB749"/>
    <w:rsid w:val="E7E6862C"/>
    <w:rsid w:val="EBBB89E8"/>
    <w:rsid w:val="EBFFFD6B"/>
    <w:rsid w:val="EC7F08D8"/>
    <w:rsid w:val="F8CF6593"/>
    <w:rsid w:val="FAE733E7"/>
    <w:rsid w:val="FBB75330"/>
    <w:rsid w:val="FF6722C6"/>
    <w:rsid w:val="FFF325D4"/>
    <w:rsid w:val="FFFBF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4"/>
    <w:autoRedefine/>
    <w:semiHidden/>
    <w:unhideWhenUsed/>
    <w:qFormat/>
    <w:uiPriority w:val="99"/>
    <w:rPr>
      <w:sz w:val="18"/>
      <w:szCs w:val="18"/>
    </w:r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9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qFormat/>
    <w:uiPriority w:val="99"/>
    <w:rPr>
      <w:color w:val="0000FF"/>
      <w:u w:val="single"/>
    </w:rPr>
  </w:style>
  <w:style w:type="paragraph" w:customStyle="1" w:styleId="10">
    <w:name w:val="样式 宋体 四号 首行缩进:  0.85 厘米 行距: 固定值 25 磅"/>
    <w:basedOn w:val="1"/>
    <w:autoRedefine/>
    <w:qFormat/>
    <w:uiPriority w:val="99"/>
    <w:pPr>
      <w:spacing w:line="500" w:lineRule="exact"/>
      <w:ind w:firstLine="480"/>
    </w:pPr>
    <w:rPr>
      <w:rFonts w:ascii="宋体" w:hAnsi="宋体" w:cs="宋体"/>
      <w:szCs w:val="20"/>
    </w:rPr>
  </w:style>
  <w:style w:type="character" w:customStyle="1" w:styleId="11">
    <w:name w:val="页眉 Char"/>
    <w:basedOn w:val="8"/>
    <w:link w:val="4"/>
    <w:autoRedefine/>
    <w:qFormat/>
    <w:uiPriority w:val="99"/>
    <w:rPr>
      <w:sz w:val="18"/>
      <w:szCs w:val="18"/>
    </w:rPr>
  </w:style>
  <w:style w:type="character" w:customStyle="1" w:styleId="12">
    <w:name w:val="页脚 Char"/>
    <w:basedOn w:val="8"/>
    <w:link w:val="3"/>
    <w:autoRedefine/>
    <w:qFormat/>
    <w:uiPriority w:val="99"/>
    <w:rPr>
      <w:sz w:val="18"/>
      <w:szCs w:val="18"/>
    </w:rPr>
  </w:style>
  <w:style w:type="paragraph" w:styleId="13">
    <w:name w:val="List Paragraph"/>
    <w:basedOn w:val="1"/>
    <w:autoRedefine/>
    <w:qFormat/>
    <w:uiPriority w:val="34"/>
    <w:pPr>
      <w:ind w:firstLine="420" w:firstLineChars="200"/>
    </w:pPr>
  </w:style>
  <w:style w:type="character" w:customStyle="1" w:styleId="14">
    <w:name w:val="批注框文本 Char"/>
    <w:basedOn w:val="8"/>
    <w:link w:val="2"/>
    <w:autoRedefine/>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Company>
  <Pages>14</Pages>
  <Words>3350</Words>
  <Characters>3874</Characters>
  <Lines>7</Lines>
  <Paragraphs>2</Paragraphs>
  <TotalTime>7</TotalTime>
  <ScaleCrop>false</ScaleCrop>
  <LinksUpToDate>false</LinksUpToDate>
  <CharactersWithSpaces>11045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2017-10-01T09:46:00Z</dcterms:created>
  <dc:creator>李士珍</dc:creator>
  <cp:lastModifiedBy>周昊</cp:lastModifiedBy>
  <cp:lastPrinted>2018-07-24T15:58:00Z</cp:lastPrinted>
  <dcterms:modified xsi:type="dcterms:W3CDTF">2024-04-25T08:44:33Z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33BA7A0124144D64BDEBB3F72A71BACF_13</vt:lpwstr>
  </property>
</Properties>
</file>